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99" w:rsidRDefault="00B64899" w:rsidP="00F13066">
      <w:pPr>
        <w:rPr>
          <w:rFonts w:cs="Times New Roman"/>
          <w:sz w:val="22"/>
          <w:szCs w:val="22"/>
        </w:rPr>
      </w:pPr>
      <w:r>
        <w:rPr>
          <w:sz w:val="22"/>
          <w:szCs w:val="22"/>
        </w:rPr>
        <w:t>Annex 1</w:t>
      </w:r>
    </w:p>
    <w:p w:rsidR="00B64899" w:rsidRDefault="00B64899" w:rsidP="00F13066">
      <w:pPr>
        <w:rPr>
          <w:rFonts w:cs="Times New Roman"/>
          <w:sz w:val="22"/>
          <w:szCs w:val="22"/>
        </w:rPr>
      </w:pPr>
    </w:p>
    <w:p w:rsidR="00B64899" w:rsidRPr="00AA072F" w:rsidRDefault="00B64899" w:rsidP="00F13066">
      <w:pPr>
        <w:rPr>
          <w:rFonts w:cs="Times New Roman"/>
          <w:b/>
          <w:bCs/>
          <w:sz w:val="22"/>
          <w:szCs w:val="22"/>
        </w:rPr>
      </w:pPr>
      <w:r>
        <w:rPr>
          <w:b/>
          <w:bCs/>
          <w:sz w:val="22"/>
          <w:szCs w:val="22"/>
        </w:rPr>
        <w:t xml:space="preserve">Explanation of accumulation of origin concept </w:t>
      </w:r>
    </w:p>
    <w:p w:rsidR="00B64899" w:rsidRDefault="00B64899" w:rsidP="00F13066">
      <w:pPr>
        <w:rPr>
          <w:rFonts w:cs="Times New Roman"/>
          <w:sz w:val="22"/>
          <w:szCs w:val="22"/>
        </w:rPr>
      </w:pPr>
    </w:p>
    <w:p w:rsidR="00B64899" w:rsidRDefault="00B64899" w:rsidP="00F13066">
      <w:pPr>
        <w:rPr>
          <w:rFonts w:cs="Times New Roman"/>
          <w:sz w:val="22"/>
          <w:szCs w:val="22"/>
        </w:rPr>
      </w:pPr>
      <w:r>
        <w:rPr>
          <w:sz w:val="22"/>
          <w:szCs w:val="22"/>
        </w:rPr>
        <w:t xml:space="preserve">Let us start with an explanation of what Pan-Euro-Mediterranean accumulation of origin is. </w:t>
      </w:r>
    </w:p>
    <w:p w:rsidR="00B64899" w:rsidRPr="002F03FD" w:rsidRDefault="00B64899" w:rsidP="00F13066">
      <w:pPr>
        <w:rPr>
          <w:rFonts w:cs="Times New Roman"/>
          <w:sz w:val="22"/>
          <w:szCs w:val="22"/>
        </w:rPr>
      </w:pPr>
      <w:r>
        <w:rPr>
          <w:sz w:val="22"/>
          <w:szCs w:val="22"/>
        </w:rPr>
        <w:t xml:space="preserve">This is a type of diagonal (multilateral) accumulation which arises in the case of agreements introducing the possibility of accumulation of origin within a free trade zone to which more than two countries belong; the countries in the zone decide amongst themselves an agreement containing (usually in the form of a special protocol) identical origin rules. The components from the trade area countries are treatedas if they came from a country where the product is produced and belonging to the area. Example - we have a free trade area consisting of countries  A,B,C,D. Agreements are made between these countries to establish rules of origin. The product is manufactured in country B. This product consists of components produced in countries A, B, C and D. All these components are treated equally and considered as being of this origin. </w:t>
      </w:r>
    </w:p>
    <w:p w:rsidR="00B64899" w:rsidRPr="002F03FD" w:rsidRDefault="00B64899" w:rsidP="00F13066">
      <w:pPr>
        <w:rPr>
          <w:rFonts w:cs="Times New Roman"/>
          <w:sz w:val="22"/>
          <w:szCs w:val="22"/>
        </w:rPr>
      </w:pPr>
    </w:p>
    <w:p w:rsidR="00B64899" w:rsidRPr="002F03FD" w:rsidRDefault="00B64899" w:rsidP="00F13066">
      <w:pPr>
        <w:rPr>
          <w:rFonts w:cs="Times New Roman"/>
          <w:sz w:val="22"/>
          <w:szCs w:val="22"/>
        </w:rPr>
      </w:pPr>
      <w:r>
        <w:rPr>
          <w:sz w:val="22"/>
          <w:szCs w:val="22"/>
        </w:rPr>
        <w:t xml:space="preserve">Pan-Euro-Mediterranean accumulation of origin is intended to enable materials to be used originating in the EU, Iceland, Norway, Switzerland and Lichtenstein, the Faroe Islands or any other non-member country, i.e. Algeria, Egypt, Israel, Jordan, Lebanon, Morocco, Syria, Tunisia, Turkey and the West Bank of the Jordan and the Gaza Strip (Palestine). </w:t>
      </w:r>
    </w:p>
    <w:p w:rsidR="00B64899" w:rsidRPr="002F03FD" w:rsidRDefault="00B64899" w:rsidP="00F13066">
      <w:pPr>
        <w:rPr>
          <w:rFonts w:cs="Times New Roman"/>
          <w:sz w:val="22"/>
          <w:szCs w:val="22"/>
        </w:rPr>
      </w:pPr>
    </w:p>
    <w:p w:rsidR="00B64899" w:rsidRDefault="00B64899" w:rsidP="00F13066">
      <w:pPr>
        <w:jc w:val="left"/>
        <w:rPr>
          <w:rFonts w:cs="Times New Roman"/>
          <w:sz w:val="22"/>
          <w:szCs w:val="22"/>
        </w:rPr>
      </w:pPr>
      <w:r>
        <w:rPr>
          <w:sz w:val="22"/>
          <w:szCs w:val="22"/>
        </w:rPr>
        <w:t xml:space="preserve">In other words, to answer the question included in the declaration about whether accumulation of origin has been applied, check whether a component supplied to Amica contains raw materials from countries belonging to the Pan-Euro-Mediterranean area. </w:t>
      </w:r>
    </w:p>
    <w:p w:rsidR="00B64899" w:rsidRDefault="00B64899" w:rsidP="00F13066">
      <w:pPr>
        <w:jc w:val="left"/>
        <w:rPr>
          <w:rFonts w:cs="Times New Roman"/>
          <w:sz w:val="22"/>
          <w:szCs w:val="22"/>
        </w:rPr>
      </w:pPr>
    </w:p>
    <w:p w:rsidR="00B64899" w:rsidRDefault="00B64899" w:rsidP="00F13066">
      <w:pPr>
        <w:jc w:val="left"/>
        <w:rPr>
          <w:rFonts w:cs="Times New Roman"/>
          <w:sz w:val="22"/>
          <w:szCs w:val="22"/>
        </w:rPr>
      </w:pPr>
    </w:p>
    <w:p w:rsidR="00B64899" w:rsidRPr="002F03FD" w:rsidRDefault="00B64899" w:rsidP="00F13066">
      <w:pPr>
        <w:jc w:val="left"/>
        <w:rPr>
          <w:rFonts w:cs="Times New Roman"/>
          <w:sz w:val="22"/>
          <w:szCs w:val="22"/>
        </w:rPr>
      </w:pPr>
      <w:r>
        <w:rPr>
          <w:sz w:val="22"/>
          <w:szCs w:val="22"/>
        </w:rPr>
        <w:t xml:space="preserve">If so, please answer the next question, whether these raw materials were properly processed, i.e. if the processing applied went beyond: </w:t>
      </w:r>
    </w:p>
    <w:p w:rsidR="00B64899" w:rsidRDefault="00B64899" w:rsidP="003B17B5">
      <w:pPr>
        <w:pStyle w:val="ListParagraph"/>
        <w:numPr>
          <w:ilvl w:val="0"/>
          <w:numId w:val="1"/>
        </w:numPr>
        <w:jc w:val="left"/>
        <w:rPr>
          <w:rFonts w:cs="Times New Roman"/>
          <w:sz w:val="22"/>
          <w:szCs w:val="22"/>
        </w:rPr>
      </w:pPr>
      <w:r>
        <w:rPr>
          <w:sz w:val="22"/>
          <w:szCs w:val="22"/>
        </w:rPr>
        <w:t>actions ensuring that products are kept in good condition during transport and storage;</w:t>
      </w:r>
    </w:p>
    <w:p w:rsidR="00B64899" w:rsidRDefault="00B64899" w:rsidP="003B17B5">
      <w:pPr>
        <w:pStyle w:val="ListParagraph"/>
        <w:numPr>
          <w:ilvl w:val="0"/>
          <w:numId w:val="1"/>
        </w:numPr>
        <w:jc w:val="left"/>
        <w:rPr>
          <w:rFonts w:cs="Times New Roman"/>
          <w:sz w:val="22"/>
          <w:szCs w:val="22"/>
        </w:rPr>
      </w:pPr>
      <w:r>
        <w:rPr>
          <w:sz w:val="22"/>
          <w:szCs w:val="22"/>
        </w:rPr>
        <w:t>combining and dividing packages;</w:t>
      </w:r>
    </w:p>
    <w:p w:rsidR="00B64899" w:rsidRDefault="00B64899" w:rsidP="003B17B5">
      <w:pPr>
        <w:pStyle w:val="ListParagraph"/>
        <w:numPr>
          <w:ilvl w:val="0"/>
          <w:numId w:val="1"/>
        </w:numPr>
        <w:jc w:val="left"/>
        <w:rPr>
          <w:rFonts w:cs="Times New Roman"/>
          <w:sz w:val="22"/>
          <w:szCs w:val="22"/>
        </w:rPr>
      </w:pPr>
      <w:r>
        <w:rPr>
          <w:sz w:val="22"/>
          <w:szCs w:val="22"/>
        </w:rPr>
        <w:t>washing, cleaning, dusting, removing oxidised layers, oil, paint and other covering layers;</w:t>
      </w:r>
    </w:p>
    <w:p w:rsidR="00B64899" w:rsidRDefault="00B64899" w:rsidP="003B17B5">
      <w:pPr>
        <w:pStyle w:val="ListParagraph"/>
        <w:numPr>
          <w:ilvl w:val="0"/>
          <w:numId w:val="1"/>
        </w:numPr>
        <w:jc w:val="left"/>
        <w:rPr>
          <w:rFonts w:cs="Times New Roman"/>
          <w:sz w:val="22"/>
          <w:szCs w:val="22"/>
        </w:rPr>
      </w:pPr>
      <w:r>
        <w:rPr>
          <w:sz w:val="22"/>
          <w:szCs w:val="22"/>
        </w:rPr>
        <w:t>simple painting and varnishing actions;</w:t>
      </w:r>
    </w:p>
    <w:p w:rsidR="00B64899" w:rsidRDefault="00B64899" w:rsidP="003B17B5">
      <w:pPr>
        <w:pStyle w:val="ListParagraph"/>
        <w:numPr>
          <w:ilvl w:val="0"/>
          <w:numId w:val="1"/>
        </w:numPr>
        <w:jc w:val="left"/>
        <w:rPr>
          <w:rFonts w:cs="Times New Roman"/>
          <w:sz w:val="22"/>
          <w:szCs w:val="22"/>
        </w:rPr>
      </w:pPr>
      <w:r>
        <w:rPr>
          <w:sz w:val="22"/>
          <w:szCs w:val="22"/>
        </w:rPr>
        <w:t>sharpening, normal polishing or trimming;</w:t>
      </w:r>
    </w:p>
    <w:p w:rsidR="00B64899" w:rsidRDefault="00B64899" w:rsidP="003B17B5">
      <w:pPr>
        <w:pStyle w:val="ListParagraph"/>
        <w:numPr>
          <w:ilvl w:val="0"/>
          <w:numId w:val="1"/>
        </w:numPr>
        <w:jc w:val="left"/>
        <w:rPr>
          <w:rFonts w:cs="Times New Roman"/>
          <w:sz w:val="22"/>
          <w:szCs w:val="22"/>
        </w:rPr>
      </w:pPr>
      <w:r>
        <w:rPr>
          <w:sz w:val="22"/>
          <w:szCs w:val="22"/>
        </w:rPr>
        <w:t>sifting, inspecting, sorting, classifying, assessing, selecting (including completing sets of articles);</w:t>
      </w:r>
    </w:p>
    <w:p w:rsidR="00B64899" w:rsidRDefault="00B64899" w:rsidP="003B17B5">
      <w:pPr>
        <w:pStyle w:val="ListParagraph"/>
        <w:numPr>
          <w:ilvl w:val="0"/>
          <w:numId w:val="1"/>
        </w:numPr>
        <w:jc w:val="left"/>
        <w:rPr>
          <w:rFonts w:cs="Times New Roman"/>
          <w:sz w:val="22"/>
          <w:szCs w:val="22"/>
        </w:rPr>
      </w:pPr>
      <w:r>
        <w:rPr>
          <w:sz w:val="22"/>
          <w:szCs w:val="22"/>
        </w:rPr>
        <w:t>normal putting in bottles, cans, phials, bags, crates, boxes, putting on cards or notice boards, etc.</w:t>
      </w:r>
      <w:bookmarkStart w:id="0" w:name="_GoBack"/>
      <w:bookmarkEnd w:id="0"/>
      <w:r>
        <w:rPr>
          <w:sz w:val="22"/>
          <w:szCs w:val="22"/>
        </w:rPr>
        <w:t xml:space="preserve"> and any other simple actions connected with packing;</w:t>
      </w:r>
    </w:p>
    <w:p w:rsidR="00B64899" w:rsidRDefault="00B64899" w:rsidP="003B17B5">
      <w:pPr>
        <w:pStyle w:val="ListParagraph"/>
        <w:numPr>
          <w:ilvl w:val="0"/>
          <w:numId w:val="2"/>
        </w:numPr>
        <w:jc w:val="left"/>
        <w:rPr>
          <w:rFonts w:cs="Times New Roman"/>
          <w:sz w:val="22"/>
          <w:szCs w:val="22"/>
        </w:rPr>
      </w:pPr>
      <w:r>
        <w:rPr>
          <w:sz w:val="22"/>
          <w:szCs w:val="22"/>
        </w:rPr>
        <w:t>placing or printing signs, labels, company symbols and other identifying marks on products or their packaging;</w:t>
      </w:r>
    </w:p>
    <w:p w:rsidR="00B64899" w:rsidRDefault="00B64899" w:rsidP="003B17B5">
      <w:pPr>
        <w:pStyle w:val="ListParagraph"/>
        <w:numPr>
          <w:ilvl w:val="0"/>
          <w:numId w:val="2"/>
        </w:numPr>
        <w:jc w:val="left"/>
        <w:rPr>
          <w:rFonts w:cs="Times New Roman"/>
          <w:sz w:val="22"/>
          <w:szCs w:val="22"/>
        </w:rPr>
      </w:pPr>
      <w:r>
        <w:rPr>
          <w:sz w:val="22"/>
          <w:szCs w:val="22"/>
        </w:rPr>
        <w:t>normal mixing of products, even those of different types;</w:t>
      </w:r>
    </w:p>
    <w:p w:rsidR="00B64899" w:rsidRDefault="00B64899" w:rsidP="003B17B5">
      <w:pPr>
        <w:pStyle w:val="ListParagraph"/>
        <w:numPr>
          <w:ilvl w:val="0"/>
          <w:numId w:val="2"/>
        </w:numPr>
        <w:jc w:val="left"/>
        <w:rPr>
          <w:rFonts w:cs="Times New Roman"/>
          <w:sz w:val="22"/>
          <w:szCs w:val="22"/>
        </w:rPr>
      </w:pPr>
      <w:r>
        <w:rPr>
          <w:sz w:val="22"/>
          <w:szCs w:val="22"/>
        </w:rPr>
        <w:t>normal assembly of parts of articles to keep an article complete, or dismantling of products;</w:t>
      </w:r>
    </w:p>
    <w:p w:rsidR="00B64899" w:rsidRPr="003B17B5" w:rsidRDefault="00B64899" w:rsidP="003B17B5">
      <w:pPr>
        <w:pStyle w:val="ListParagraph"/>
        <w:numPr>
          <w:ilvl w:val="0"/>
          <w:numId w:val="2"/>
        </w:numPr>
        <w:jc w:val="left"/>
        <w:rPr>
          <w:rFonts w:cs="Times New Roman"/>
          <w:sz w:val="22"/>
          <w:szCs w:val="22"/>
        </w:rPr>
      </w:pPr>
      <w:r>
        <w:rPr>
          <w:sz w:val="22"/>
          <w:szCs w:val="22"/>
        </w:rPr>
        <w:t>combining two or more of the actions mentioned in a)–l);</w:t>
      </w:r>
    </w:p>
    <w:p w:rsidR="00B64899" w:rsidRPr="002F03FD" w:rsidRDefault="00B64899" w:rsidP="00F13066">
      <w:pPr>
        <w:ind w:left="360"/>
        <w:jc w:val="left"/>
        <w:rPr>
          <w:rFonts w:cs="Times New Roman"/>
          <w:sz w:val="22"/>
          <w:szCs w:val="22"/>
        </w:rPr>
      </w:pPr>
    </w:p>
    <w:p w:rsidR="00B64899" w:rsidRPr="00D906AB" w:rsidRDefault="00B64899" w:rsidP="00F13066">
      <w:pPr>
        <w:pStyle w:val="BodyText"/>
        <w:spacing w:after="240" w:line="280" w:lineRule="atLeast"/>
        <w:rPr>
          <w:rFonts w:cs="Times New Roman"/>
          <w:sz w:val="22"/>
          <w:szCs w:val="22"/>
        </w:rPr>
      </w:pPr>
      <w:r>
        <w:rPr>
          <w:sz w:val="22"/>
          <w:szCs w:val="22"/>
        </w:rPr>
        <w:t>If so, mark the point "no accumulation" If not, mark the point " accumulation" and name the country or countries from which raw materials are used.</w:t>
      </w:r>
    </w:p>
    <w:p w:rsidR="00B64899" w:rsidRPr="00F13066" w:rsidRDefault="00B64899" w:rsidP="00F13066">
      <w:pPr>
        <w:rPr>
          <w:rFonts w:cs="Times New Roman"/>
        </w:rPr>
      </w:pPr>
    </w:p>
    <w:sectPr w:rsidR="00B64899" w:rsidRPr="00F13066" w:rsidSect="00545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C7C4A"/>
    <w:multiLevelType w:val="hybridMultilevel"/>
    <w:tmpl w:val="FAFA055E"/>
    <w:lvl w:ilvl="0" w:tplc="A400304C">
      <w:start w:val="9"/>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33C7B8C"/>
    <w:multiLevelType w:val="hybridMultilevel"/>
    <w:tmpl w:val="1040A39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066"/>
    <w:rsid w:val="001B4633"/>
    <w:rsid w:val="0021779F"/>
    <w:rsid w:val="002F03FD"/>
    <w:rsid w:val="003B17B5"/>
    <w:rsid w:val="0054539E"/>
    <w:rsid w:val="00AA072F"/>
    <w:rsid w:val="00B64899"/>
    <w:rsid w:val="00D05633"/>
    <w:rsid w:val="00D906AB"/>
    <w:rsid w:val="00E1669A"/>
    <w:rsid w:val="00F130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66"/>
    <w:pPr>
      <w:jc w:val="both"/>
    </w:pPr>
    <w:rPr>
      <w:rFonts w:ascii="Arial" w:eastAsia="Times New Roman" w:hAnsi="Arial" w:cs="Arial"/>
      <w:spacing w:val="-5"/>
      <w:sz w:val="20"/>
      <w:szCs w:val="20"/>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3066"/>
    <w:pPr>
      <w:spacing w:after="220" w:line="220" w:lineRule="atLeast"/>
    </w:pPr>
  </w:style>
  <w:style w:type="character" w:customStyle="1" w:styleId="BodyTextChar">
    <w:name w:val="Body Text Char"/>
    <w:basedOn w:val="DefaultParagraphFont"/>
    <w:link w:val="BodyText"/>
    <w:uiPriority w:val="99"/>
    <w:locked/>
    <w:rsid w:val="00F13066"/>
    <w:rPr>
      <w:rFonts w:ascii="Arial" w:hAnsi="Arial" w:cs="Arial"/>
      <w:spacing w:val="-5"/>
      <w:sz w:val="20"/>
      <w:szCs w:val="20"/>
      <w:lang w:eastAsia="en-GB"/>
    </w:rPr>
  </w:style>
  <w:style w:type="paragraph" w:styleId="ListParagraph">
    <w:name w:val="List Paragraph"/>
    <w:basedOn w:val="Normal"/>
    <w:uiPriority w:val="99"/>
    <w:qFormat/>
    <w:rsid w:val="003B17B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394</Words>
  <Characters>2369</Characters>
  <Application>Microsoft Office Outlook</Application>
  <DocSecurity>0</DocSecurity>
  <Lines>0</Lines>
  <Paragraphs>0</Paragraphs>
  <ScaleCrop>false</ScaleCrop>
  <Company>AMICA WRONKI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Machaj Magdalena</dc:creator>
  <cp:keywords/>
  <dc:description/>
  <cp:lastModifiedBy>Adrian Twardowski</cp:lastModifiedBy>
  <cp:revision>2</cp:revision>
  <dcterms:created xsi:type="dcterms:W3CDTF">2013-08-01T10:42:00Z</dcterms:created>
  <dcterms:modified xsi:type="dcterms:W3CDTF">2013-08-01T10:42:00Z</dcterms:modified>
</cp:coreProperties>
</file>