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95" w:rsidRDefault="001B2A95" w:rsidP="00F13066">
      <w:pPr>
        <w:rPr>
          <w:sz w:val="22"/>
          <w:szCs w:val="22"/>
        </w:rPr>
      </w:pPr>
      <w:r>
        <w:rPr>
          <w:sz w:val="22"/>
          <w:szCs w:val="22"/>
        </w:rPr>
        <w:t>Załącznik 1</w:t>
      </w:r>
    </w:p>
    <w:p w:rsidR="001B2A95" w:rsidRDefault="001B2A95" w:rsidP="00F13066">
      <w:pPr>
        <w:rPr>
          <w:sz w:val="22"/>
          <w:szCs w:val="22"/>
        </w:rPr>
      </w:pPr>
    </w:p>
    <w:p w:rsidR="001B2A95" w:rsidRPr="00AA072F" w:rsidRDefault="001B2A95" w:rsidP="00F13066">
      <w:pPr>
        <w:rPr>
          <w:b/>
          <w:bCs/>
          <w:sz w:val="22"/>
          <w:szCs w:val="22"/>
        </w:rPr>
      </w:pPr>
      <w:r w:rsidRPr="00AA072F">
        <w:rPr>
          <w:b/>
          <w:bCs/>
          <w:sz w:val="22"/>
          <w:szCs w:val="22"/>
        </w:rPr>
        <w:t xml:space="preserve">Wyjaśnienie pojęcia „kumulacja pochodzenia” </w:t>
      </w:r>
    </w:p>
    <w:p w:rsidR="001B2A95" w:rsidRDefault="001B2A95" w:rsidP="00F13066">
      <w:pPr>
        <w:rPr>
          <w:rFonts w:cs="Times New Roman"/>
          <w:sz w:val="22"/>
          <w:szCs w:val="22"/>
        </w:rPr>
      </w:pPr>
    </w:p>
    <w:p w:rsidR="001B2A95" w:rsidRDefault="001B2A95" w:rsidP="00F13066">
      <w:pPr>
        <w:rPr>
          <w:rFonts w:cs="Times New Roman"/>
          <w:sz w:val="22"/>
          <w:szCs w:val="22"/>
        </w:rPr>
      </w:pPr>
      <w:r w:rsidRPr="002F03FD">
        <w:rPr>
          <w:sz w:val="22"/>
          <w:szCs w:val="22"/>
        </w:rPr>
        <w:t xml:space="preserve">Zacznijmy od wyjaśnienia co to jest paneurośródziemnomorska kumulacja pochodzenia. </w:t>
      </w:r>
    </w:p>
    <w:p w:rsidR="001B2A95" w:rsidRPr="002F03FD" w:rsidRDefault="001B2A95" w:rsidP="00F13066">
      <w:pPr>
        <w:rPr>
          <w:sz w:val="22"/>
          <w:szCs w:val="22"/>
        </w:rPr>
      </w:pPr>
      <w:r w:rsidRPr="002F03FD">
        <w:rPr>
          <w:sz w:val="22"/>
          <w:szCs w:val="22"/>
        </w:rPr>
        <w:t xml:space="preserve">Jest to odmiana kumulacji diagonalnej (wielostronnej), która występuje w przypadku umów wprowadzających możliwość kumulowania pochodzenia w ramach strefy wolnego handlu, do której należy więcej niż dwa kraje; państwa strefy ustanawiają pomiędzy sobą umowy zawierające w swojej treści (najczęściej w formie specjalnego protokołu) identyczne reguły pochodzenia. Czyli komponenty z krajów strefy są traktowane  tak jakby pochodziły z kraju,  w którym wytwarzany jest produkt, a który to kraj również należy do strefy. Przykład: mamy  strefę wolnego handlu składającą się z krajów  A,B,C,D. Między tymi krajami zawarte są umowy ustanawiające reguły pochodzenia. W kraju B wytwarzany jest produkt. Na ten produkt składają się komponenty pochodzące z krajów A, B, C, D. Wszystkie te komponenty traktowane są równorzędnie i uważane za pochodzące. </w:t>
      </w:r>
    </w:p>
    <w:p w:rsidR="001B2A95" w:rsidRPr="002F03FD" w:rsidRDefault="001B2A95" w:rsidP="00F13066">
      <w:pPr>
        <w:rPr>
          <w:sz w:val="22"/>
          <w:szCs w:val="22"/>
        </w:rPr>
      </w:pPr>
    </w:p>
    <w:p w:rsidR="001B2A95" w:rsidRPr="002F03FD" w:rsidRDefault="001B2A95" w:rsidP="00F13066">
      <w:pPr>
        <w:rPr>
          <w:sz w:val="22"/>
          <w:szCs w:val="22"/>
        </w:rPr>
      </w:pPr>
      <w:r w:rsidRPr="002F03FD">
        <w:rPr>
          <w:sz w:val="22"/>
          <w:szCs w:val="22"/>
        </w:rPr>
        <w:t xml:space="preserve">Kumulacja paneurośródziemnomorska ma umożliwić stosowanie materiałów pochodzących ze Wspólnoty, Islandii, Norwegii, Szwajcarii oraz Lichtensteinu, Wysp Owczych,  lub z jakiegokolwiek innego kraju nieczłonkowskiego, tj. Algierii, Egiptu, Izraela, Jordanii, Libanu, Maroka, Syrii, Tunezji, Turcję oraz Zachodniego Brzegu Jordanu i Strefy Gazy (Palestynę) </w:t>
      </w:r>
    </w:p>
    <w:p w:rsidR="001B2A95" w:rsidRPr="002F03FD" w:rsidRDefault="001B2A95" w:rsidP="00F13066">
      <w:pPr>
        <w:rPr>
          <w:sz w:val="22"/>
          <w:szCs w:val="22"/>
        </w:rPr>
      </w:pPr>
    </w:p>
    <w:p w:rsidR="001B2A95" w:rsidRDefault="001B2A95" w:rsidP="00F13066">
      <w:pPr>
        <w:jc w:val="left"/>
        <w:rPr>
          <w:rFonts w:cs="Times New Roman"/>
          <w:sz w:val="22"/>
          <w:szCs w:val="22"/>
        </w:rPr>
      </w:pPr>
      <w:r w:rsidRPr="002F03FD">
        <w:rPr>
          <w:sz w:val="22"/>
          <w:szCs w:val="22"/>
        </w:rPr>
        <w:t xml:space="preserve">Czyli chcąc odpowiedzieć na pytanie zawarte w deklaracji, czy zastosowano kumulację, należy sprawdzić, czy w skład komponentu dostarczanego do Amica wchodzą surowce z krajów wchodzących do strefy paneurośródziemnomorskiej. </w:t>
      </w:r>
    </w:p>
    <w:p w:rsidR="001B2A95" w:rsidRDefault="001B2A95" w:rsidP="00F13066">
      <w:pPr>
        <w:jc w:val="left"/>
        <w:rPr>
          <w:rFonts w:cs="Times New Roman"/>
          <w:sz w:val="22"/>
          <w:szCs w:val="22"/>
        </w:rPr>
      </w:pPr>
    </w:p>
    <w:p w:rsidR="001B2A95" w:rsidRDefault="001B2A95" w:rsidP="00F13066">
      <w:pPr>
        <w:jc w:val="left"/>
        <w:rPr>
          <w:rFonts w:cs="Times New Roman"/>
          <w:sz w:val="22"/>
          <w:szCs w:val="22"/>
        </w:rPr>
      </w:pPr>
    </w:p>
    <w:p w:rsidR="001B2A95" w:rsidRPr="002F03FD" w:rsidRDefault="001B2A95" w:rsidP="00F13066">
      <w:pPr>
        <w:jc w:val="left"/>
        <w:rPr>
          <w:sz w:val="22"/>
          <w:szCs w:val="22"/>
        </w:rPr>
      </w:pPr>
      <w:r w:rsidRPr="002F03FD">
        <w:rPr>
          <w:sz w:val="22"/>
          <w:szCs w:val="22"/>
        </w:rPr>
        <w:t xml:space="preserve">Jeśli tak, należy odpowiedzieć na kolejne pytanie, czy surowce te zostały poddane wystarczającej obróbce, czyli, czy zastosowana obróbka wykraczała poza: </w:t>
      </w:r>
    </w:p>
    <w:p w:rsidR="001B2A95" w:rsidRDefault="001B2A95" w:rsidP="00F13066">
      <w:pPr>
        <w:ind w:left="360"/>
        <w:jc w:val="left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2F03FD">
        <w:rPr>
          <w:sz w:val="22"/>
          <w:szCs w:val="22"/>
        </w:rPr>
        <w:t>czynności zapewniające zachowanie produktów w dobrym</w:t>
      </w:r>
      <w:r w:rsidRPr="002F03FD">
        <w:rPr>
          <w:sz w:val="22"/>
          <w:szCs w:val="22"/>
        </w:rPr>
        <w:br/>
        <w:t>stanie podczas transportu i składowania;</w:t>
      </w:r>
      <w:r w:rsidRPr="002F03FD">
        <w:rPr>
          <w:sz w:val="22"/>
          <w:szCs w:val="22"/>
        </w:rPr>
        <w:br/>
        <w:t>b) łączenie i rozdzielanie paczek;</w:t>
      </w:r>
      <w:r w:rsidRPr="002F03FD">
        <w:rPr>
          <w:sz w:val="22"/>
          <w:szCs w:val="22"/>
        </w:rPr>
        <w:br/>
        <w:t>c) mycie, czyszczenie, odkurzanie, usuwanie warstwy utlenionej,</w:t>
      </w:r>
      <w:r w:rsidRPr="002F03FD">
        <w:rPr>
          <w:sz w:val="22"/>
          <w:szCs w:val="22"/>
        </w:rPr>
        <w:br/>
        <w:t>oleju, farby lub innych warstw pokrywających;</w:t>
      </w:r>
      <w:r w:rsidRPr="002F03FD">
        <w:rPr>
          <w:sz w:val="22"/>
          <w:szCs w:val="22"/>
        </w:rPr>
        <w:br/>
        <w:t>d) proste czynności malowania i polerowania;</w:t>
      </w:r>
      <w:r w:rsidRPr="002F03FD">
        <w:rPr>
          <w:sz w:val="22"/>
          <w:szCs w:val="22"/>
        </w:rPr>
        <w:br/>
        <w:t>e) ostrzenie, zwykłe szlifowanie lub przycinanie;</w:t>
      </w:r>
      <w:r w:rsidRPr="002F03FD">
        <w:rPr>
          <w:sz w:val="22"/>
          <w:szCs w:val="22"/>
        </w:rPr>
        <w:br/>
        <w:t>f) przesiewanie, przeglądanie, sortowanie, klasyfikowanie,</w:t>
      </w:r>
      <w:r w:rsidRPr="002F03FD">
        <w:rPr>
          <w:sz w:val="22"/>
          <w:szCs w:val="22"/>
        </w:rPr>
        <w:br/>
        <w:t>ocenianie, dobieranie (łącznie z kompletowaniem zestawów</w:t>
      </w:r>
      <w:r w:rsidRPr="002F03FD">
        <w:rPr>
          <w:sz w:val="22"/>
          <w:szCs w:val="22"/>
        </w:rPr>
        <w:br/>
        <w:t>artykułów);</w:t>
      </w:r>
      <w:r w:rsidRPr="002F03FD">
        <w:rPr>
          <w:sz w:val="22"/>
          <w:szCs w:val="22"/>
        </w:rPr>
        <w:br/>
        <w:t>g) zwykłe umieszczanie w butelkach, puszkach, flakonach,</w:t>
      </w:r>
      <w:r w:rsidRPr="002F03FD">
        <w:rPr>
          <w:sz w:val="22"/>
          <w:szCs w:val="22"/>
        </w:rPr>
        <w:br/>
        <w:t>torbach, skrzynkach, pudełkach, umieszczanie na kartach</w:t>
      </w:r>
      <w:r w:rsidRPr="002F03FD">
        <w:rPr>
          <w:sz w:val="22"/>
          <w:szCs w:val="22"/>
        </w:rPr>
        <w:br/>
        <w:t>lub tablicach itp. oraz wszystkie inne proste czynności</w:t>
      </w:r>
      <w:r w:rsidRPr="002F03FD">
        <w:rPr>
          <w:sz w:val="22"/>
          <w:szCs w:val="22"/>
        </w:rPr>
        <w:br/>
        <w:t>związane z pakowaniem;</w:t>
      </w:r>
      <w:r w:rsidRPr="002F03FD">
        <w:rPr>
          <w:sz w:val="22"/>
          <w:szCs w:val="22"/>
        </w:rPr>
        <w:br/>
        <w:t>i) umieszczanie lub drukowanie na produktach lub ich</w:t>
      </w:r>
      <w:r w:rsidRPr="002F03FD">
        <w:rPr>
          <w:sz w:val="22"/>
          <w:szCs w:val="22"/>
        </w:rPr>
        <w:br/>
        <w:t>opakowaniach znaków, etykiet, znaków firmowych</w:t>
      </w:r>
      <w:r w:rsidRPr="002F03FD">
        <w:rPr>
          <w:sz w:val="22"/>
          <w:szCs w:val="22"/>
        </w:rPr>
        <w:br/>
        <w:t>i innych podobnych znaków odróżniających;</w:t>
      </w:r>
      <w:r w:rsidRPr="002F03FD">
        <w:rPr>
          <w:sz w:val="22"/>
          <w:szCs w:val="22"/>
        </w:rPr>
        <w:br/>
        <w:t>j) zwykłe mieszanie produktów, nawet różnych rodzajów;</w:t>
      </w:r>
      <w:r w:rsidRPr="002F03FD">
        <w:rPr>
          <w:sz w:val="22"/>
          <w:szCs w:val="22"/>
        </w:rPr>
        <w:br/>
        <w:t>k) zwykły montaż części artykułów dla otrzymania kompletnego</w:t>
      </w:r>
      <w:r w:rsidRPr="002F03FD">
        <w:rPr>
          <w:sz w:val="22"/>
          <w:szCs w:val="22"/>
        </w:rPr>
        <w:br/>
        <w:t>artykułu lub demontaż produktów na części;</w:t>
      </w:r>
      <w:r w:rsidRPr="002F03FD">
        <w:rPr>
          <w:sz w:val="22"/>
          <w:szCs w:val="22"/>
        </w:rPr>
        <w:br/>
        <w:t>l) połączenie dwóch lub więcej czynności wymienionych</w:t>
      </w:r>
      <w:r w:rsidRPr="002F03FD">
        <w:rPr>
          <w:sz w:val="22"/>
          <w:szCs w:val="22"/>
        </w:rPr>
        <w:br/>
        <w:t>w lit. a)–l);</w:t>
      </w:r>
    </w:p>
    <w:p w:rsidR="001B2A95" w:rsidRPr="002F03FD" w:rsidRDefault="001B2A95" w:rsidP="00F13066">
      <w:pPr>
        <w:ind w:left="360"/>
        <w:jc w:val="left"/>
        <w:rPr>
          <w:rFonts w:cs="Times New Roman"/>
          <w:sz w:val="22"/>
          <w:szCs w:val="22"/>
        </w:rPr>
      </w:pPr>
    </w:p>
    <w:p w:rsidR="001B2A95" w:rsidRPr="00D906AB" w:rsidRDefault="001B2A95" w:rsidP="00F13066">
      <w:pPr>
        <w:pStyle w:val="BodyText"/>
        <w:spacing w:after="240" w:line="280" w:lineRule="atLeast"/>
        <w:rPr>
          <w:rFonts w:cs="Times New Roman"/>
          <w:sz w:val="22"/>
          <w:szCs w:val="22"/>
        </w:rPr>
      </w:pPr>
      <w:r w:rsidRPr="002F03FD">
        <w:rPr>
          <w:sz w:val="22"/>
          <w:szCs w:val="22"/>
        </w:rPr>
        <w:t>Jeśli tak, to zaznaczamy punkt: „nie ma kumulacji”. Jeśli nie, to zaznaczamy punkt: „jest kumulacja” i wymieniamy państwo lub państwa z których użyto surowce</w:t>
      </w:r>
      <w:r>
        <w:rPr>
          <w:sz w:val="22"/>
          <w:szCs w:val="22"/>
        </w:rPr>
        <w:t>.</w:t>
      </w:r>
    </w:p>
    <w:p w:rsidR="001B2A95" w:rsidRPr="00F13066" w:rsidRDefault="001B2A95" w:rsidP="00F13066">
      <w:pPr>
        <w:rPr>
          <w:rFonts w:cs="Times New Roman"/>
        </w:rPr>
      </w:pPr>
      <w:bookmarkStart w:id="0" w:name="_GoBack"/>
      <w:bookmarkEnd w:id="0"/>
    </w:p>
    <w:sectPr w:rsidR="001B2A95" w:rsidRPr="00F13066" w:rsidSect="00F1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066"/>
    <w:rsid w:val="001B2A95"/>
    <w:rsid w:val="002F03FD"/>
    <w:rsid w:val="00AA072F"/>
    <w:rsid w:val="00D5131B"/>
    <w:rsid w:val="00D906AB"/>
    <w:rsid w:val="00E1669A"/>
    <w:rsid w:val="00E93FB2"/>
    <w:rsid w:val="00F13066"/>
    <w:rsid w:val="00F1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66"/>
    <w:pPr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13066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3066"/>
    <w:rPr>
      <w:rFonts w:ascii="Arial" w:hAnsi="Arial" w:cs="Arial"/>
      <w:spacing w:val="-5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415</Words>
  <Characters>2493</Characters>
  <Application>Microsoft Office Outlook</Application>
  <DocSecurity>0</DocSecurity>
  <Lines>0</Lines>
  <Paragraphs>0</Paragraphs>
  <ScaleCrop>false</ScaleCrop>
  <Company>AMICA WRONKI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Machaj Magdalena</dc:creator>
  <cp:keywords/>
  <dc:description/>
  <cp:lastModifiedBy>Adrian Twardowski</cp:lastModifiedBy>
  <cp:revision>2</cp:revision>
  <dcterms:created xsi:type="dcterms:W3CDTF">2013-08-01T10:41:00Z</dcterms:created>
  <dcterms:modified xsi:type="dcterms:W3CDTF">2013-08-01T10:41:00Z</dcterms:modified>
</cp:coreProperties>
</file>